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2021年度项目支出绩效自评报告</w:t>
      </w:r>
    </w:p>
    <w:p>
      <w:pPr>
        <w:spacing w:line="576" w:lineRule="exact"/>
        <w:ind w:left="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征地补偿及其群众利益补偿</w:t>
      </w:r>
      <w:r>
        <w:rPr>
          <w:rFonts w:hint="eastAsia" w:ascii="楷体_GB2312" w:eastAsia="楷体_GB2312"/>
          <w:b/>
          <w:sz w:val="32"/>
          <w:szCs w:val="32"/>
        </w:rPr>
        <w:t>专项经费）</w:t>
      </w:r>
    </w:p>
    <w:p>
      <w:pPr>
        <w:pStyle w:val="2"/>
        <w:spacing w:after="0" w:line="576" w:lineRule="exact"/>
        <w:ind w:left="0" w:leftChars="0"/>
      </w:pP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</w:rPr>
      </w:pPr>
      <w:r>
        <w:rPr>
          <w:rFonts w:hint="eastAsia" w:ascii="黑体" w:eastAsia="黑体"/>
          <w:b/>
          <w:bCs/>
          <w:sz w:val="32"/>
          <w:szCs w:val="32"/>
        </w:rPr>
        <w:t>一、项目概况</w:t>
      </w:r>
    </w:p>
    <w:p>
      <w:pPr>
        <w:numPr>
          <w:ilvl w:val="0"/>
          <w:numId w:val="1"/>
        </w:numPr>
        <w:spacing w:line="576" w:lineRule="exact"/>
        <w:ind w:left="0" w:firstLine="640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利益分配主要覆盖1镇4乡，其中香格里拉镇包括马帮补偿（根据游客人数增长）、土地补偿、康古征地补偿（根据当年粮食价格）、寺庙共建共管（根据游客人数增长）、禁牧补偿费、土地流转；蒙自、赤土、木拉三个乡为定额补偿（合计100万元，蒙自乡40万、赤土乡35万、木拉乡25万）；各卡乡包括补马帮补偿（根据游客人数增长）、征地补偿（根据当年粮食价格）。</w:t>
      </w:r>
    </w:p>
    <w:p>
      <w:pPr>
        <w:numPr>
          <w:ilvl w:val="0"/>
          <w:numId w:val="1"/>
        </w:num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项目资金申报及批复情况</w:t>
      </w:r>
    </w:p>
    <w:p>
      <w:pPr>
        <w:numPr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征地补偿及其群众利益补偿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1034.0249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 2021年1月州财政下达项目预算资金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1034.0249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万元，符合资金管理办法等相关规定。</w:t>
      </w:r>
    </w:p>
    <w:p>
      <w:pPr>
        <w:numPr>
          <w:ilvl w:val="0"/>
          <w:numId w:val="1"/>
        </w:num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项目绩效目标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以“确保景区日常运行维护，保证门票成本、周边群众及其群众利益补偿，基础设施建设进度加快，完善基础设施，加快门禁系统建设”为总体目标</w:t>
      </w:r>
    </w:p>
    <w:p>
      <w:pPr>
        <w:numPr>
          <w:ilvl w:val="0"/>
          <w:numId w:val="1"/>
        </w:num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项目资金申报相符性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2021年，申报征地补偿及其群众利益补偿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1034.0249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万元，该项目资金主要用于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景区周边1镇4乡征地补偿及其群众利益补偿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支出，项目申报内容与具体实施内容相符，申报目标合理可行。</w:t>
      </w: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二、项目实施及管理情况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（一）资金计划、到位及使用情况</w:t>
      </w:r>
    </w:p>
    <w:p>
      <w:pPr>
        <w:spacing w:line="576" w:lineRule="exact"/>
        <w:ind w:left="0" w:firstLine="643" w:firstLineChars="200"/>
        <w:rPr>
          <w:rFonts w:hint="default" w:ascii="Times New Roman" w:hAnsi="Times New Roman" w:eastAsia="楷体"/>
          <w:b/>
          <w:bCs/>
          <w:sz w:val="32"/>
          <w:szCs w:val="32"/>
        </w:rPr>
      </w:pPr>
      <w:r>
        <w:rPr>
          <w:rFonts w:hint="default" w:ascii="Times New Roman" w:hAnsi="Times New Roman" w:eastAsia="楷体"/>
          <w:b/>
          <w:bCs/>
          <w:sz w:val="32"/>
          <w:szCs w:val="32"/>
        </w:rPr>
        <w:t>1.资金计划及到位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征地补偿及其群众利益补偿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1034.0249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万元，到位资金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1034.0249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万元，项目经费来源为财政拨款，资金到位率100%。</w:t>
      </w:r>
    </w:p>
    <w:p>
      <w:pPr>
        <w:spacing w:line="576" w:lineRule="exact"/>
        <w:ind w:left="0" w:firstLine="643" w:firstLineChars="200"/>
        <w:jc w:val="left"/>
        <w:rPr>
          <w:rFonts w:hint="default" w:ascii="Times New Roman" w:hAnsi="Times New Roman" w:eastAsia="楷体"/>
          <w:b/>
          <w:bCs/>
          <w:sz w:val="32"/>
          <w:szCs w:val="32"/>
        </w:rPr>
      </w:pPr>
      <w:r>
        <w:rPr>
          <w:rFonts w:hint="default" w:ascii="Times New Roman" w:hAnsi="Times New Roman" w:eastAsia="楷体"/>
          <w:b/>
          <w:bCs/>
          <w:sz w:val="32"/>
          <w:szCs w:val="32"/>
        </w:rPr>
        <w:t>2．资金使用</w:t>
      </w:r>
    </w:p>
    <w:p>
      <w:pPr>
        <w:spacing w:line="576" w:lineRule="exact"/>
        <w:ind w:left="0" w:firstLine="640" w:firstLineChars="200"/>
        <w:jc w:val="left"/>
        <w:rPr>
          <w:rFonts w:hint="default" w:ascii="Times New Roman" w:hAnsi="Times New Roman" w:eastAsia="仿宋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征地补偿及其群众利益补偿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1034.0249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万元，支付依据合规合法，资金支付与预算相符。</w:t>
      </w:r>
    </w:p>
    <w:p>
      <w:pPr>
        <w:spacing w:line="576" w:lineRule="exact"/>
        <w:ind w:left="0"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（二）项目财务管理情况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建立预算绩效管理制度。预算绩效管理工作由财务科牵头，其他科室各自负责与本科室相关的预算绩效管理工作，并与其他部门协调一致。</w:t>
      </w:r>
      <w:r>
        <w:rPr>
          <w:rFonts w:hint="default" w:ascii="Times New Roman" w:hAnsi="Times New Roman" w:eastAsia="仿宋"/>
          <w:b/>
          <w:bCs/>
          <w:sz w:val="32"/>
          <w:szCs w:val="32"/>
        </w:rPr>
        <w:t>严格执行财务管理制度、财务处理及时、会计核算规范。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 w:cs="楷体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楷体"/>
          <w:b/>
          <w:bCs/>
          <w:sz w:val="32"/>
          <w:szCs w:val="32"/>
          <w:lang w:bidi="ar-SA"/>
        </w:rPr>
        <w:t>（三）项目组织实施情况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（1）召开包括全部部门负责人参加的预算绩效管理工作会议，明确目标，强调预算绩效管理工作重要性并安排相关工作。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（2）为确保预算绩效管理工作顺利实施，成立预算绩效管理工作小组，绩效管理小组组长由局长李灿担任，财务科科长担任办公室主任，负责预算管理工作的实施及监督。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（3）为确保预算绩效管理工作顺利实施，我部门于2021年3月9日组织召开了本门预算专题培训会，认真学习。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三、项目绩效情况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州委州政府的关怀指导下，我单位根据年初预算情况和各类项目安排情况，逐项落实到各职能科室，强调时间节点，确保任务落到实处。同时建立项目台账，强化项目管理，对项目推进情况进行监督。保证网售系统平稳运行满足游客需求。</w:t>
      </w:r>
    </w:p>
    <w:p>
      <w:pPr>
        <w:pStyle w:val="2"/>
        <w:spacing w:after="0" w:line="576" w:lineRule="exact"/>
        <w:ind w:left="0" w:leftChars="0" w:firstLine="0" w:firstLineChars="0"/>
        <w:rPr>
          <w:rFonts w:hint="eastAsia" w:ascii="楷体_GB2312" w:eastAsia="楷体_GB2312" w:cs="仿宋_GB2312"/>
          <w:b/>
          <w:bCs/>
          <w:sz w:val="32"/>
          <w:lang w:bidi="ar-SA"/>
        </w:rPr>
      </w:pPr>
      <w:r>
        <w:rPr>
          <w:rFonts w:hint="eastAsia" w:ascii="楷体_GB2312" w:eastAsia="楷体_GB2312" w:cs="仿宋_GB2312"/>
          <w:b/>
          <w:bCs/>
          <w:sz w:val="32"/>
          <w:lang w:bidi="ar-SA"/>
        </w:rPr>
        <w:t xml:space="preserve">    (二)项目效益情况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lang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预算编制严格按照上级相关文件需求进行科学化编制，2021年本部门的绩效目标制定、目标完成、预决算编制等均按照县财政局下达的相关文件指标进行编制，均按相关要求严格执行预算范围内开支，及时进行了预算动态调整，无违规记录。保证网售系统平稳运行满足游客需求。</w:t>
      </w:r>
    </w:p>
    <w:p>
      <w:pPr>
        <w:pStyle w:val="2"/>
        <w:spacing w:after="0" w:line="576" w:lineRule="exact"/>
        <w:ind w:left="0" w:leftChars="0" w:firstLine="0" w:firstLineChars="0"/>
        <w:rPr>
          <w:rFonts w:hint="default" w:ascii="仿宋" w:eastAsia="仿宋_GB2312" w:cs="仿宋_GB2312"/>
          <w:b/>
          <w:bCs/>
          <w:sz w:val="32"/>
          <w:lang w:val="en-US" w:eastAsia="zh-CN" w:bidi="ar-SA"/>
        </w:rPr>
      </w:pP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四、问题及建议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（一）存在的问题</w:t>
      </w:r>
    </w:p>
    <w:p>
      <w:pPr>
        <w:spacing w:line="576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对项目支出绩效评价重视程度不够。对项目支出绩效评价的理解和把握有一定的差距，削弱了项目支出绩效评价工作的地位和作用。二是项目支出绩效评价指标缺乏。现有评价指标所限，部分项目效果无法量化，目标绩效不明显。</w:t>
      </w:r>
    </w:p>
    <w:p>
      <w:pPr>
        <w:spacing w:line="576" w:lineRule="exact"/>
        <w:ind w:left="0" w:firstLine="480" w:firstLineChars="1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（二）相关建议</w:t>
      </w:r>
    </w:p>
    <w:p>
      <w:pPr>
        <w:spacing w:line="576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高度重视项目支出绩效评价工作。明确项目支出绩效评价职责，成立绩效评价工作领导小组，明确专人负责。二是细化项目支出绩效评价指标。根据财政支出绩效管理的要求，细化项目支出绩效评价指标，建立科学的财政资金效益考评体系，不断提高财政资金使用管理的水平和效率。</w:t>
      </w:r>
    </w:p>
    <w:p>
      <w:pPr>
        <w:spacing w:line="576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p>
      <w:pPr>
        <w:spacing w:line="576" w:lineRule="exact"/>
        <w:ind w:left="0"/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</w:pPr>
    </w:p>
    <w:p>
      <w:pPr>
        <w:pStyle w:val="2"/>
        <w:ind w:left="420" w:leftChars="200"/>
      </w:pPr>
    </w:p>
    <w:p>
      <w:pPr>
        <w:pStyle w:val="2"/>
        <w:spacing w:after="0" w:line="576" w:lineRule="exact"/>
        <w:ind w:left="0" w:leftChars="0" w:firstLine="4658" w:firstLineChars="145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  <w:t>甘孜州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 w:bidi="ar-SA"/>
        </w:rPr>
        <w:t>稻城亚丁景区管理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  <w:t>局</w:t>
      </w:r>
    </w:p>
    <w:p>
      <w:pPr>
        <w:spacing w:line="576" w:lineRule="exact"/>
        <w:ind w:firstLine="5461" w:firstLineChars="1700"/>
        <w:jc w:val="center"/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  <w:t>2022年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 w:bidi="ar-SA"/>
        </w:rPr>
        <w:t>3月14日</w:t>
      </w:r>
    </w:p>
    <w:p/>
    <w:sectPr>
      <w:footerReference r:id="rId3" w:type="default"/>
      <w:pgSz w:w="11907" w:h="16840"/>
      <w:pgMar w:top="720" w:right="720" w:bottom="720" w:left="720" w:header="851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847" w:firstLine="12509" w:firstLineChars="4450"/>
      <w:rPr>
        <w:rFonts w:ascii="Times New Roman" w:hAnsi="Times New Roman"/>
        <w:b/>
        <w:bCs/>
      </w:rPr>
    </w:pPr>
    <w:r>
      <w:rPr>
        <w:rStyle w:val="7"/>
        <w:rFonts w:ascii="Times New Roman" w:hAnsi="Times New Roman"/>
        <w:b/>
        <w:bCs/>
        <w:sz w:val="28"/>
        <w:szCs w:val="28"/>
      </w:rPr>
      <w:t xml:space="preserve">                                   — </w:t>
    </w:r>
    <w:r>
      <w:rPr>
        <w:rStyle w:val="7"/>
        <w:rFonts w:ascii="Times New Roman" w:hAnsi="Times New Roman"/>
        <w:b/>
        <w:bCs/>
        <w:sz w:val="28"/>
        <w:szCs w:val="28"/>
      </w:rPr>
      <w:fldChar w:fldCharType="begin"/>
    </w:r>
    <w:r>
      <w:rPr>
        <w:rStyle w:val="7"/>
        <w:rFonts w:ascii="Times New Roman" w:hAnsi="Times New Roman"/>
        <w:b/>
        <w:bCs/>
        <w:sz w:val="28"/>
        <w:szCs w:val="28"/>
      </w:rPr>
      <w:instrText xml:space="preserve">PAGE  </w:instrText>
    </w:r>
    <w:r>
      <w:rPr>
        <w:rFonts w:ascii="Times New Roman" w:hAnsi="Times New Roman" w:cs="Times New Roman"/>
        <w:b/>
        <w:bCs/>
        <w:sz w:val="28"/>
        <w:szCs w:val="28"/>
        <w:lang w:bidi="ar-SA"/>
      </w:rPr>
      <w:fldChar w:fldCharType="separate"/>
    </w:r>
    <w:r>
      <w:rPr>
        <w:rStyle w:val="7"/>
        <w:rFonts w:ascii="Times New Roman" w:hAnsi="Times New Roman"/>
        <w:b/>
        <w:bCs/>
        <w:sz w:val="28"/>
        <w:szCs w:val="28"/>
      </w:rPr>
      <w:t>11</w:t>
    </w:r>
    <w:r>
      <w:rPr>
        <w:rFonts w:ascii="Times New Roman" w:hAnsi="Times New Roman" w:cs="Times New Roman"/>
        <w:b/>
        <w:bCs/>
        <w:sz w:val="28"/>
        <w:szCs w:val="28"/>
        <w:lang w:bidi="ar-SA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  <w:lang w:bidi="ar-SA"/>
      </w:rPr>
      <w:t xml:space="preserve"> </w:t>
    </w:r>
    <w:r>
      <w:rPr>
        <w:rStyle w:val="7"/>
        <w:rFonts w:ascii="Times New Roman" w:hAnsi="Times New Roman"/>
        <w:b/>
        <w:bCs/>
        <w:sz w:val="28"/>
        <w:szCs w:val="28"/>
      </w:rPr>
      <w:t>—</w:t>
    </w:r>
    <w:r>
      <w:rPr>
        <w:rStyle w:val="7"/>
        <w:rFonts w:hint="eastAsia" w:ascii="宋体"/>
        <w:sz w:val="28"/>
        <w:szCs w:val="28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62F35"/>
    <w:multiLevelType w:val="singleLevel"/>
    <w:tmpl w:val="86D62F35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65FFB"/>
    <w:rsid w:val="3A19354C"/>
    <w:rsid w:val="5038576E"/>
    <w:rsid w:val="645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200" w:firstLineChars="200"/>
    </w:pPr>
  </w:style>
  <w:style w:type="paragraph" w:customStyle="1" w:styleId="3">
    <w:name w:val="BodyTextIndent"/>
    <w:basedOn w:val="1"/>
    <w:uiPriority w:val="0"/>
    <w:pPr>
      <w:spacing w:after="120"/>
      <w:ind w:left="200" w:leftChars="200"/>
      <w:textAlignment w:val="baseline"/>
    </w:pPr>
    <w:rPr>
      <w:rFonts w:ascii="Times New Roman" w:hAnsi="Times New Roman"/>
      <w:szCs w:val="32"/>
      <w:lang w:bidi="bo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7">
    <w:name w:val="page number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2022-03-23T12:52:47Z</dcterms:created>
  <dc:creator>10505</dc:creator>
  <cp:lastModifiedBy>人生如戏</cp:lastModifiedBy>
  <dcterms:modified xsi:type="dcterms:W3CDTF">2022-03-23T13:27:44Z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F20B4647C50F4A04B16FF373B90DFB07</vt:lpwstr>
  </property>
</Properties>
</file>