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0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2021年度项目支出绩效自评报告</w:t>
      </w:r>
    </w:p>
    <w:p>
      <w:pPr>
        <w:spacing w:line="576" w:lineRule="exact"/>
        <w:ind w:left="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景区门票成本</w:t>
      </w:r>
      <w:r>
        <w:rPr>
          <w:rFonts w:hint="eastAsia" w:ascii="楷体_GB2312" w:eastAsia="楷体_GB2312"/>
          <w:b/>
          <w:sz w:val="32"/>
          <w:szCs w:val="32"/>
        </w:rPr>
        <w:t>专项经费）</w:t>
      </w:r>
    </w:p>
    <w:p>
      <w:pPr>
        <w:pStyle w:val="2"/>
        <w:spacing w:after="0" w:line="576" w:lineRule="exact"/>
        <w:ind w:left="0" w:leftChars="0"/>
      </w:pPr>
    </w:p>
    <w:p>
      <w:pPr>
        <w:spacing w:line="576" w:lineRule="exact"/>
        <w:ind w:left="0" w:firstLine="643" w:firstLineChars="200"/>
        <w:rPr>
          <w:rFonts w:hint="eastAsia" w:ascii="黑体" w:eastAsia="黑体"/>
          <w:b/>
          <w:bCs/>
        </w:rPr>
      </w:pPr>
      <w:r>
        <w:rPr>
          <w:rFonts w:hint="eastAsia" w:ascii="黑体" w:eastAsia="黑体"/>
          <w:b/>
          <w:bCs/>
          <w:sz w:val="32"/>
          <w:szCs w:val="32"/>
        </w:rPr>
        <w:t>一、项目概况</w:t>
      </w:r>
    </w:p>
    <w:p>
      <w:pPr>
        <w:spacing w:line="576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主要由景区门票制作费用、税金及其附加、网售佣金三大部分组成，保障景区运营</w:t>
      </w:r>
    </w:p>
    <w:p>
      <w:pPr>
        <w:numPr>
          <w:ilvl w:val="0"/>
          <w:numId w:val="1"/>
        </w:numPr>
        <w:spacing w:line="576" w:lineRule="exact"/>
        <w:ind w:left="0"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项目资金申报及批复情况</w:t>
      </w:r>
    </w:p>
    <w:p>
      <w:pPr>
        <w:spacing w:line="576" w:lineRule="exact"/>
        <w:ind w:left="0" w:firstLine="640" w:firstLineChars="200"/>
        <w:rPr>
          <w:rFonts w:hint="default" w:ascii="Times New Roman" w:hAnsi="Times New Roman" w:eastAsia="仿宋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景区门票成本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专项经费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916.49143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 2021年1月州财政下达项目预算资金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916.49143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万元，符合资金管理办法等相关规定。</w:t>
      </w:r>
    </w:p>
    <w:p>
      <w:pPr>
        <w:numPr>
          <w:ilvl w:val="0"/>
          <w:numId w:val="1"/>
        </w:numPr>
        <w:spacing w:line="576" w:lineRule="exact"/>
        <w:ind w:left="0"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项目绩效目标</w:t>
      </w:r>
    </w:p>
    <w:p>
      <w:pPr>
        <w:numPr>
          <w:ilvl w:val="0"/>
          <w:numId w:val="0"/>
        </w:numPr>
        <w:tabs>
          <w:tab w:val="left" w:pos="0"/>
        </w:tabs>
        <w:spacing w:line="576" w:lineRule="exact"/>
        <w:ind w:leftChars="200" w:firstLine="640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以“确保景区日常运行维护，保证门票成本、周边群众及其群众利益补偿，基础设施建设进度加快，完善基础设施，加快门禁系统建设”为总体目标</w:t>
      </w:r>
    </w:p>
    <w:p>
      <w:pPr>
        <w:numPr>
          <w:ilvl w:val="0"/>
          <w:numId w:val="1"/>
        </w:numPr>
        <w:spacing w:line="576" w:lineRule="exact"/>
        <w:ind w:left="0"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项目资金申报相符性</w:t>
      </w:r>
    </w:p>
    <w:p>
      <w:pPr>
        <w:numPr>
          <w:ilvl w:val="0"/>
          <w:numId w:val="0"/>
        </w:numPr>
        <w:tabs>
          <w:tab w:val="left" w:pos="0"/>
        </w:tabs>
        <w:spacing w:line="576" w:lineRule="exact"/>
        <w:ind w:leftChars="20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景区门票成本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专项经费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916.49143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万元，该项目资金主要用于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景区门票成本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相关的支出，项目申报内容与具体实施内容相符，申报目标合理可行。</w:t>
      </w:r>
    </w:p>
    <w:p>
      <w:pPr>
        <w:spacing w:line="576" w:lineRule="exact"/>
        <w:ind w:left="0" w:firstLine="643" w:firstLineChars="200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二、项目实施及管理情况</w:t>
      </w:r>
    </w:p>
    <w:p>
      <w:pPr>
        <w:spacing w:line="576" w:lineRule="exact"/>
        <w:ind w:left="0"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（一）资金计划、到位及使用情况</w:t>
      </w:r>
    </w:p>
    <w:p>
      <w:pPr>
        <w:spacing w:line="576" w:lineRule="exact"/>
        <w:ind w:left="0" w:firstLine="643" w:firstLineChars="200"/>
        <w:rPr>
          <w:rFonts w:hint="default" w:ascii="Times New Roman" w:hAnsi="Times New Roman" w:eastAsia="楷体"/>
          <w:b/>
          <w:bCs/>
          <w:sz w:val="32"/>
          <w:szCs w:val="32"/>
        </w:rPr>
      </w:pPr>
      <w:r>
        <w:rPr>
          <w:rFonts w:hint="default" w:ascii="Times New Roman" w:hAnsi="Times New Roman" w:eastAsia="楷体"/>
          <w:b/>
          <w:bCs/>
          <w:sz w:val="32"/>
          <w:szCs w:val="32"/>
        </w:rPr>
        <w:t>1.资金计划及到位</w:t>
      </w:r>
    </w:p>
    <w:p>
      <w:pPr>
        <w:numPr>
          <w:ilvl w:val="0"/>
          <w:numId w:val="0"/>
        </w:numPr>
        <w:tabs>
          <w:tab w:val="left" w:pos="0"/>
        </w:tabs>
        <w:spacing w:line="576" w:lineRule="exact"/>
        <w:ind w:leftChars="20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2021年下达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景区门票成本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专项经费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916.49143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万元，到位资金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916.49143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万元，项目经费来源为财政拨款，资金到位率100%。</w:t>
      </w:r>
    </w:p>
    <w:p>
      <w:pPr>
        <w:spacing w:line="576" w:lineRule="exact"/>
        <w:ind w:left="0" w:firstLine="643" w:firstLineChars="200"/>
        <w:jc w:val="left"/>
        <w:rPr>
          <w:rFonts w:hint="default" w:ascii="Times New Roman" w:hAnsi="Times New Roman" w:eastAsia="楷体"/>
          <w:b/>
          <w:bCs/>
          <w:sz w:val="32"/>
          <w:szCs w:val="32"/>
        </w:rPr>
      </w:pPr>
      <w:r>
        <w:rPr>
          <w:rFonts w:hint="default" w:ascii="Times New Roman" w:hAnsi="Times New Roman" w:eastAsia="楷体"/>
          <w:b/>
          <w:bCs/>
          <w:sz w:val="32"/>
          <w:szCs w:val="32"/>
        </w:rPr>
        <w:t>2．资金使用</w:t>
      </w:r>
    </w:p>
    <w:p>
      <w:pPr>
        <w:numPr>
          <w:ilvl w:val="0"/>
          <w:numId w:val="0"/>
        </w:numPr>
        <w:tabs>
          <w:tab w:val="left" w:pos="0"/>
        </w:tabs>
        <w:spacing w:line="576" w:lineRule="exact"/>
        <w:ind w:leftChars="20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景区门票成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专项资金支出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916.49143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万元，支付依据合规合法，资金支付与预算相符。</w:t>
      </w:r>
    </w:p>
    <w:bookmarkEnd w:id="0"/>
    <w:p>
      <w:pPr>
        <w:spacing w:line="576" w:lineRule="exact"/>
        <w:ind w:left="0" w:firstLine="643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（二）项目财务管理情况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建立预算绩效管理制度。预算绩效管理工作由财务科牵头，其他科室各自负责与本科室相关的预算绩效管理工作，并与其他部门协调一致。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严格执行财务管理制度、财务处理及时、会计核算规范。</w:t>
      </w:r>
    </w:p>
    <w:p>
      <w:pPr>
        <w:spacing w:line="576" w:lineRule="exact"/>
        <w:ind w:left="0" w:firstLine="643" w:firstLineChars="200"/>
        <w:rPr>
          <w:rFonts w:hint="eastAsia" w:ascii="楷体_GB2312" w:eastAsia="楷体_GB2312" w:cs="楷体"/>
          <w:b/>
          <w:bCs/>
          <w:sz w:val="32"/>
          <w:szCs w:val="32"/>
          <w:lang w:bidi="ar-SA"/>
        </w:rPr>
      </w:pPr>
      <w:r>
        <w:rPr>
          <w:rFonts w:hint="eastAsia" w:ascii="楷体_GB2312" w:eastAsia="楷体_GB2312" w:cs="楷体"/>
          <w:b/>
          <w:bCs/>
          <w:sz w:val="32"/>
          <w:szCs w:val="32"/>
          <w:lang w:bidi="ar-SA"/>
        </w:rPr>
        <w:t>（三）项目组织实施情况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（1）召开包括全部部门负责人参加的预算绩效管理工作会议，明确目标，强调预算绩效管理工作重要性并安排相关工作。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（2）为确保预算绩效管理工作顺利实施，成立预算绩效管理工作小组，绩效管理小组组长由局长李灿担任，财务科科长担任办公室主任，负责预算管理工作的实施及监督。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（3）为确保预算绩效管理工作顺利实施，我部门于2021年3月9日组织召开了本门预算专题培训会，认真学习。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76" w:lineRule="exact"/>
        <w:ind w:left="0" w:firstLine="643" w:firstLineChars="200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三、项目绩效情况</w:t>
      </w:r>
    </w:p>
    <w:p>
      <w:pPr>
        <w:spacing w:line="576" w:lineRule="exact"/>
        <w:ind w:left="0" w:firstLine="643" w:firstLineChars="200"/>
        <w:rPr>
          <w:rFonts w:hint="eastAsia" w:ascii="楷体_GB2312" w:eastAsia="楷体_GB2312"/>
          <w:b/>
          <w:bCs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（一）项目完成情况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州委州政府的关怀指导下，我单位根据年初预算情况和各类项目安排情况，逐项落实到各职能科室，强调时间节点，确保任务落到实处。同时建立项目台账，强化项目管理，对项目推进情况进行监督。保证网售系统平稳运行满足游客需求。</w:t>
      </w:r>
    </w:p>
    <w:p>
      <w:pPr>
        <w:pStyle w:val="2"/>
        <w:spacing w:after="0" w:line="576" w:lineRule="exact"/>
        <w:ind w:left="0" w:leftChars="0" w:firstLine="0" w:firstLineChars="0"/>
        <w:rPr>
          <w:rFonts w:hint="eastAsia" w:ascii="楷体_GB2312" w:eastAsia="楷体_GB2312" w:cs="仿宋_GB2312"/>
          <w:b/>
          <w:bCs/>
          <w:sz w:val="32"/>
          <w:lang w:bidi="ar-SA"/>
        </w:rPr>
      </w:pPr>
      <w:r>
        <w:rPr>
          <w:rFonts w:hint="eastAsia" w:ascii="楷体_GB2312" w:eastAsia="楷体_GB2312" w:cs="仿宋_GB2312"/>
          <w:b/>
          <w:bCs/>
          <w:sz w:val="32"/>
          <w:lang w:bidi="ar-SA"/>
        </w:rPr>
        <w:t xml:space="preserve">    (二)项目效益情况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lang w:bidi="ar-SA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预算编制严格按照上级相关文件需求进行科学化编制，2021年本部门的绩效目标制定、目标完成、预决算编制等均按照县财政局下达的相关文件指标进行编制，均按相关要求严格执行预算范围内开支，及时进行了预算动态调整，无违规记录。保证网售系统平稳运行满足游客需求。</w:t>
      </w:r>
    </w:p>
    <w:p>
      <w:pPr>
        <w:pStyle w:val="2"/>
        <w:spacing w:after="0" w:line="576" w:lineRule="exact"/>
        <w:ind w:left="0" w:leftChars="0" w:firstLine="0" w:firstLineChars="0"/>
        <w:rPr>
          <w:rFonts w:hint="default" w:ascii="仿宋" w:eastAsia="仿宋_GB2312" w:cs="仿宋_GB2312"/>
          <w:b/>
          <w:bCs/>
          <w:sz w:val="32"/>
          <w:lang w:val="en-US" w:eastAsia="zh-CN" w:bidi="ar-SA"/>
        </w:rPr>
      </w:pPr>
    </w:p>
    <w:p>
      <w:pPr>
        <w:spacing w:line="576" w:lineRule="exact"/>
        <w:ind w:left="0" w:firstLine="643" w:firstLineChars="200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四、问题及建议</w:t>
      </w:r>
    </w:p>
    <w:p>
      <w:pPr>
        <w:spacing w:line="576" w:lineRule="exact"/>
        <w:ind w:left="0"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lang w:bidi="ar-SA"/>
        </w:rPr>
      </w:pPr>
      <w:r>
        <w:rPr>
          <w:rFonts w:hint="eastAsia" w:ascii="仿宋_GB2312" w:eastAsia="仿宋_GB2312" w:cs="仿宋_GB2312"/>
          <w:sz w:val="32"/>
          <w:lang w:bidi="ar-SA"/>
        </w:rPr>
        <w:t>一是对项目支出绩效评价重视程度不够。对项目支出绩效评价的理解和把握有一定的差距，削弱了项目支出绩效评价工作的地位和作用。二是项目支出绩效评价指标缺乏。现有评价指标所限，部分项目效果无法量化，目标绩效不明显。</w:t>
      </w:r>
    </w:p>
    <w:p>
      <w:pPr>
        <w:spacing w:line="576" w:lineRule="exact"/>
        <w:ind w:left="0" w:firstLine="643" w:firstLineChars="2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lang w:bidi="ar-SA"/>
        </w:rPr>
      </w:pPr>
      <w:r>
        <w:rPr>
          <w:rFonts w:hint="eastAsia" w:ascii="仿宋_GB2312" w:eastAsia="仿宋_GB2312" w:cs="仿宋_GB2312"/>
          <w:sz w:val="32"/>
          <w:lang w:bidi="ar-SA"/>
        </w:rPr>
        <w:t>一是高度重视项目支出绩效评价工作。明确项目支出绩效评价职责，成立绩效评价工作领导小组，明确专人负责。二是细化项目支出绩效评价指标。根据财政支出绩效管理的要求，细化项目支出绩效评价指标，建立科学的财政资金效益考评体系，不断提高财政资金使用管理的水平和效率。</w:t>
      </w:r>
    </w:p>
    <w:p>
      <w:pPr>
        <w:spacing w:line="576" w:lineRule="exact"/>
        <w:ind w:left="0"/>
      </w:pPr>
    </w:p>
    <w:p>
      <w:pPr>
        <w:spacing w:line="576" w:lineRule="exact"/>
        <w:ind w:left="0"/>
        <w:rPr>
          <w:rFonts w:ascii="Times New Roman" w:hAnsi="Times New Roman" w:eastAsia="仿宋_GB2312" w:cs="Times New Roman"/>
          <w:b/>
          <w:bCs/>
          <w:sz w:val="32"/>
          <w:szCs w:val="32"/>
          <w:lang w:bidi="ar-SA"/>
        </w:rPr>
      </w:pPr>
    </w:p>
    <w:p>
      <w:pPr>
        <w:pStyle w:val="2"/>
        <w:ind w:left="420" w:leftChars="200"/>
      </w:pPr>
    </w:p>
    <w:p>
      <w:pPr>
        <w:pStyle w:val="2"/>
        <w:spacing w:after="0" w:line="576" w:lineRule="exact"/>
        <w:ind w:left="0" w:leftChars="0" w:firstLine="4658" w:firstLineChars="1450"/>
        <w:jc w:val="center"/>
        <w:rPr>
          <w:rFonts w:ascii="Times New Roman" w:hAnsi="Times New Roman" w:eastAsia="仿宋_GB2312" w:cs="Times New Roman"/>
          <w:b/>
          <w:bCs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lang w:bidi="ar-SA"/>
        </w:rPr>
        <w:t>甘孜州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 w:bidi="ar-SA"/>
        </w:rPr>
        <w:t>稻城亚丁景区管理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lang w:bidi="ar-SA"/>
        </w:rPr>
        <w:t>局</w:t>
      </w:r>
    </w:p>
    <w:p>
      <w:pPr>
        <w:spacing w:line="576" w:lineRule="exact"/>
        <w:ind w:firstLine="5461" w:firstLineChars="1700"/>
        <w:jc w:val="center"/>
        <w:rPr>
          <w:lang w:val="en-US"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lang w:bidi="ar-SA"/>
        </w:rPr>
        <w:t>2022年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 w:bidi="ar-SA"/>
        </w:rPr>
        <w:t>3月14日</w:t>
      </w:r>
    </w:p>
    <w:sectPr>
      <w:footerReference r:id="rId3" w:type="default"/>
      <w:pgSz w:w="11907" w:h="16840"/>
      <w:pgMar w:top="720" w:right="720" w:bottom="720" w:left="720" w:header="851" w:footer="31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847" w:firstLine="12509" w:firstLineChars="4450"/>
      <w:rPr>
        <w:rFonts w:ascii="Times New Roman" w:hAnsi="Times New Roman"/>
        <w:b/>
        <w:bCs/>
      </w:rPr>
    </w:pPr>
    <w:r>
      <w:rPr>
        <w:rStyle w:val="7"/>
        <w:rFonts w:ascii="Times New Roman" w:hAnsi="Times New Roman"/>
        <w:b/>
        <w:bCs/>
        <w:sz w:val="28"/>
        <w:szCs w:val="28"/>
      </w:rPr>
      <w:t xml:space="preserve">                                   — </w:t>
    </w:r>
    <w:r>
      <w:rPr>
        <w:rStyle w:val="7"/>
        <w:rFonts w:ascii="Times New Roman" w:hAnsi="Times New Roman"/>
        <w:b/>
        <w:bCs/>
        <w:sz w:val="28"/>
        <w:szCs w:val="28"/>
      </w:rPr>
      <w:fldChar w:fldCharType="begin"/>
    </w:r>
    <w:r>
      <w:rPr>
        <w:rStyle w:val="7"/>
        <w:rFonts w:ascii="Times New Roman" w:hAnsi="Times New Roman"/>
        <w:b/>
        <w:bCs/>
        <w:sz w:val="28"/>
        <w:szCs w:val="28"/>
      </w:rPr>
      <w:instrText xml:space="preserve">PAGE  </w:instrText>
    </w:r>
    <w:r>
      <w:rPr>
        <w:rFonts w:ascii="Times New Roman" w:hAnsi="Times New Roman" w:cs="Times New Roman"/>
        <w:b/>
        <w:bCs/>
        <w:sz w:val="28"/>
        <w:szCs w:val="28"/>
        <w:lang w:bidi="ar-SA"/>
      </w:rPr>
      <w:fldChar w:fldCharType="separate"/>
    </w:r>
    <w:r>
      <w:rPr>
        <w:rStyle w:val="7"/>
        <w:rFonts w:ascii="Times New Roman" w:hAnsi="Times New Roman"/>
        <w:b/>
        <w:bCs/>
        <w:sz w:val="28"/>
        <w:szCs w:val="28"/>
      </w:rPr>
      <w:t>11</w:t>
    </w:r>
    <w:r>
      <w:rPr>
        <w:rFonts w:ascii="Times New Roman" w:hAnsi="Times New Roman" w:cs="Times New Roman"/>
        <w:b/>
        <w:bCs/>
        <w:sz w:val="28"/>
        <w:szCs w:val="28"/>
        <w:lang w:bidi="ar-SA"/>
      </w:rPr>
      <w:fldChar w:fldCharType="end"/>
    </w:r>
    <w:r>
      <w:rPr>
        <w:rFonts w:ascii="Times New Roman" w:hAnsi="Times New Roman" w:cs="Times New Roman"/>
        <w:b/>
        <w:bCs/>
        <w:sz w:val="28"/>
        <w:szCs w:val="28"/>
        <w:lang w:bidi="ar-SA"/>
      </w:rPr>
      <w:t xml:space="preserve"> </w:t>
    </w:r>
    <w:r>
      <w:rPr>
        <w:rStyle w:val="7"/>
        <w:rFonts w:ascii="Times New Roman" w:hAnsi="Times New Roman"/>
        <w:b/>
        <w:bCs/>
        <w:sz w:val="28"/>
        <w:szCs w:val="28"/>
      </w:rPr>
      <w:t>—</w:t>
    </w:r>
    <w:r>
      <w:rPr>
        <w:rStyle w:val="7"/>
        <w:rFonts w:hint="eastAsia" w:ascii="宋体"/>
        <w:sz w:val="28"/>
        <w:szCs w:val="28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62F35"/>
    <w:multiLevelType w:val="singleLevel"/>
    <w:tmpl w:val="86D62F35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24A6D"/>
    <w:rsid w:val="11CA7586"/>
    <w:rsid w:val="40CD3F71"/>
    <w:rsid w:val="4C9003F7"/>
    <w:rsid w:val="516254BB"/>
    <w:rsid w:val="679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uiPriority w:val="0"/>
    <w:pPr>
      <w:ind w:firstLine="20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200" w:leftChars="200"/>
      <w:textAlignment w:val="baseline"/>
    </w:pPr>
    <w:rPr>
      <w:rFonts w:ascii="Times New Roman" w:hAnsi="Times New Roman"/>
      <w:szCs w:val="32"/>
      <w:lang w:bidi="bo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character" w:styleId="7">
    <w:name w:val="page number"/>
    <w:qFormat/>
    <w:uiPriority w:val="0"/>
    <w:rPr>
      <w:rFonts w:cs="Times New Roman"/>
      <w:lang w:bidi="ar-SA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2866</Words>
  <Characters>3000</Characters>
  <Lines>0</Lines>
  <Paragraphs>0</Paragraphs>
  <TotalTime>2</TotalTime>
  <ScaleCrop>false</ScaleCrop>
  <LinksUpToDate>false</LinksUpToDate>
  <CharactersWithSpaces>3064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2022-03-23T12:23:00Z</dcterms:created>
  <dc:creator>10505</dc:creator>
  <cp:lastModifiedBy>人生如戏</cp:lastModifiedBy>
  <dcterms:modified xsi:type="dcterms:W3CDTF">2022-03-23T13:15:40Z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829858CDF98B4550B4F5313C52309748</vt:lpwstr>
  </property>
</Properties>
</file>