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甘孜藏族自治州稻城亚丁景区管理局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整体支出</w:t>
      </w:r>
      <w:r>
        <w:rPr>
          <w:rFonts w:hint="eastAsia" w:ascii="方正小标宋简体" w:hAnsi="方正小标宋简体" w:eastAsia="方正小标宋简体" w:cs="方正小标宋简体"/>
          <w:sz w:val="44"/>
          <w:szCs w:val="44"/>
        </w:rPr>
        <w:t>绩效</w:t>
      </w:r>
      <w:r>
        <w:rPr>
          <w:rFonts w:hint="eastAsia" w:ascii="方正小标宋简体" w:hAnsi="方正小标宋简体" w:eastAsia="方正小标宋简体" w:cs="方正小标宋简体"/>
          <w:sz w:val="44"/>
          <w:szCs w:val="44"/>
          <w:lang w:val="en-US" w:eastAsia="zh-CN"/>
        </w:rPr>
        <w:t>自</w:t>
      </w:r>
      <w:r>
        <w:rPr>
          <w:rFonts w:hint="eastAsia" w:ascii="方正小标宋简体" w:hAnsi="方正小标宋简体" w:eastAsia="方正小标宋简体" w:cs="方正小标宋简体"/>
          <w:sz w:val="44"/>
          <w:szCs w:val="44"/>
        </w:rPr>
        <w:t>评报告</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我单位在州委州政府的领导和州财政局的指导下，积极推进预算绩效管理工作，以绩效目标实现为导向，以财政支出绩效评价为手段，以评价结果应用为保障，提高财政资金使用效益，扎实有效推进了我单位预算绩效管理工作，预算绩效管理工作取得了一定的成效。根</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val="en-US" w:eastAsia="zh-CN"/>
        </w:rPr>
        <w:t>中共甘孜州委办公室、甘孜州人民政府办公室《关于印发甘孜州全面实施预算绩效管理工作实施方案的通知》（甘财绩〔2021〕18号）《2021年预算绩效管理考核实施办法》</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我单位结合实际，对2021年预算支出绩效管理情况作了自评，绩效考核结果自评分为74.42分，现将具体情况报告如下：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一、单位概况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（一）机构组成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甘孜藏族自治州稻城亚丁景区管理局属独立核算的事业单位，执行事业单位会计制度，预算级次为一级预算单位。单位内设 9个职能科（室），分别为：办公室、规划建设科、人事科、财务科、票务科、旅游营销科、环境保护科、法规科、信息科。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（二）机构职能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稻城县境内景区和国家级自然保护区规划和基础设施建设工作，负责生态环境和自然资源保护管理工作。2.负责稻城县境内景区和国家级自然保护区环境监测、环境质量现状定期报告等自然资源调查和建档工作。负责自然保护区界标的设置和管理工作。3.负责稻城县境内景区旅游资源开发和市场营销、旅游线路推荐、特色旅游商品开发、旅游从业人员管理与培训工作。4.负责稻城县境内景区游人安全、环境卫生、治安、商贸等旅游管理服务工作。5.稻城县境内景区内原行政区划的行政管辖权不变，仍由稻城县人民政府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（三）人员概况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正科级领导职数调整为9名，副科级领导职数调整为15名。截止2021年11月30日，管理局实有人数268人，其中：公务员编制1人，事业编制41人、合同制员工133人、临聘人员76人。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二、部门整体支出基本情况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（一）部门财政资金收入情况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2021年部门预算收入总数</w:t>
      </w:r>
      <w:r>
        <w:rPr>
          <w:rFonts w:hint="eastAsia" w:ascii="仿宋_GB2312" w:hAnsi="仿宋_GB2312" w:eastAsia="仿宋_GB2312" w:cs="仿宋_GB2312"/>
          <w:sz w:val="32"/>
          <w:szCs w:val="32"/>
          <w:lang w:val="en-US" w:eastAsia="zh-CN"/>
        </w:rPr>
        <w:t>17481</w:t>
      </w:r>
      <w:r>
        <w:rPr>
          <w:rFonts w:hint="eastAsia" w:ascii="仿宋_GB2312" w:hAnsi="仿宋_GB2312" w:eastAsia="仿宋_GB2312" w:cs="仿宋_GB2312"/>
          <w:sz w:val="32"/>
          <w:szCs w:val="32"/>
        </w:rPr>
        <w:t xml:space="preserve">万元，其中：上年结转    </w:t>
      </w:r>
      <w:r>
        <w:rPr>
          <w:rFonts w:hint="eastAsia" w:ascii="仿宋_GB2312" w:hAnsi="仿宋_GB2312" w:eastAsia="仿宋_GB2312" w:cs="仿宋_GB2312"/>
          <w:sz w:val="32"/>
          <w:szCs w:val="32"/>
          <w:lang w:val="en-US" w:eastAsia="zh-CN"/>
        </w:rPr>
        <w:t>8810.55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50.4</w:t>
      </w:r>
      <w:r>
        <w:rPr>
          <w:rFonts w:hint="eastAsia" w:ascii="仿宋_GB2312" w:hAnsi="仿宋_GB2312" w:eastAsia="仿宋_GB2312" w:cs="仿宋_GB2312"/>
          <w:sz w:val="32"/>
          <w:szCs w:val="32"/>
        </w:rPr>
        <w:t>%，一般公共预算拨款收入</w:t>
      </w:r>
      <w:r>
        <w:rPr>
          <w:rFonts w:hint="eastAsia" w:ascii="仿宋_GB2312" w:hAnsi="仿宋_GB2312" w:eastAsia="仿宋_GB2312" w:cs="仿宋_GB2312"/>
          <w:sz w:val="32"/>
          <w:szCs w:val="32"/>
          <w:lang w:val="en-US" w:eastAsia="zh-CN"/>
        </w:rPr>
        <w:t>8670.45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49.6</w:t>
      </w:r>
      <w:r>
        <w:rPr>
          <w:rFonts w:hint="eastAsia" w:ascii="仿宋_GB2312" w:hAnsi="仿宋_GB2312" w:eastAsia="仿宋_GB2312" w:cs="仿宋_GB2312"/>
          <w:sz w:val="32"/>
          <w:szCs w:val="32"/>
        </w:rPr>
        <w:t>%，政府性基金预算拨款收入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%，国有资本经营预算拨款收入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资金明细如下：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基本支出710.46万元，其中：人员经费583.86万元，对个人和家庭的补助4.99万元，日常公用经费121.61万元；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项目支出16770.52万元，其中：亚丁景区日常经营费用6009.46万元，景区门票成本916.49万元，征地补偿及其群众利益补偿1034.02万元。项目财政应返还额度8810.55万元。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（二）部门财政资金支出情况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1年1月至12月支出</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lang w:val="en-US" w:eastAsia="zh-CN"/>
        </w:rPr>
        <w:t>数15635.31万元，明细如下：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基本支出836.764895万元，其中：人员经费647.64万元，对个人和家庭的补助76.65万元，日常公用经费111.57万元；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项目经费支出数14798.54万元，其中：亚丁景区日常经营费用7959.98万元，景区门票成本916.49143万元，征地补偿及其群众利益补偿1034.0249万元，2021年国家级自然保护区补助资金44.9748万元，19个基建项目6793.589186万元。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三、部门整体支出评价工作开展情况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（1）召开包括全部部门负责人参加的预算绩效管理工作会议，明确目标，强调预算绩效管理工作重要性并安排相关工作。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（2）为确保预算绩效管理工作顺利实施，成立预算绩效管理工作小组，绩效管理小组组长由局长李灿担任，财务科科长担任办公室主任，负责预算管理工作的实施及监督。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（3）建立预算绩效管理制度。预算绩效管理工作由财务科牵头，其他科室各自负责与本科室相关的预算绩效管理工作，并与其他部门协调一致。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（4）为确保预算绩效管理工作顺利实施，我部门于2021年3月9日组织召开了本门预算专题培训会，认真学习。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四、评价结论及绩效分析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预算编制严格按照上级相关文件需求进行科学化编制，2021年本部门的绩效目标制定、目标完成、预决算编制等均按照县财政局下达的相关文件指标进行了编制，均按相关要求严格执行预算范围内开支，及时进行了预算动态调整，无违规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（二）绩效分析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1.预算编制情况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（1）目标制定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通过组织2021年度预算工作会议的方式，对我单位2021年预算指标总金额17481万元（基本支出710.46万元，专项预算支出7959.98万元，上年结转安排8810.55万元），以“确保景区日常运行维护，保证门票成本、周边群众及其群众利益补偿，基础设施建设进度加快，完善基础设施，加快门禁系统建设”为总体目标，按照州财政要求，根据预算项目的性质、预算项目需要达到的目标分解落实到相应的职能科室，设定以下具体绩效目标：</w:t>
      </w:r>
      <w:r>
        <w:rPr>
          <w:rFonts w:hint="eastAsia" w:ascii="仿宋_GB2312" w:hAnsi="仿宋_GB2312" w:eastAsia="仿宋_GB2312" w:cs="仿宋_GB2312"/>
          <w:sz w:val="32"/>
          <w:szCs w:val="32"/>
          <w:lang w:val="en-US" w:eastAsia="zh-CN"/>
        </w:rPr>
        <w:br w:type="textWrapping"/>
      </w:r>
    </w:p>
    <w:tbl>
      <w:tblPr>
        <w:tblStyle w:val="4"/>
        <w:tblW w:w="9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6"/>
        <w:gridCol w:w="496"/>
        <w:gridCol w:w="1394"/>
        <w:gridCol w:w="1671"/>
        <w:gridCol w:w="4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度</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绩</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效</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指</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标</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一级指标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二级指标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三级指标</w:t>
            </w:r>
          </w:p>
        </w:tc>
        <w:tc>
          <w:tcPr>
            <w:tcW w:w="4869" w:type="dxa"/>
            <w:tcBorders>
              <w:top w:val="single" w:color="000000" w:sz="4" w:space="0"/>
              <w:left w:val="nil"/>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完成指标</w:t>
            </w:r>
          </w:p>
        </w:tc>
        <w:tc>
          <w:tcPr>
            <w:tcW w:w="1400" w:type="dxa"/>
            <w:vMerge w:val="restart"/>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数量指标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制作标本</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制作动物标本3个；植物标本20个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环卫物资采购</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大垃圾袋300捆、塑料大垃圾袋200捆，垃圾夹260把、扫把70把、垃圾钏10个、线手套50包、垃圾绳2000米一次性采购全年环卫物资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完成扑火服、管护服、扑火机具采购</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扑火服30套，管护服30套，扑火机具若干一整套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邀请森林武警驻防</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邀请森林武警驻防，与亚丁扑火队共同完成今冬明春亚丁1457.5平方公里的巡护、防火工作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叶儿红村、亚丁村病虫害治理</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治理叶儿红村、亚丁村病虫害区域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nil"/>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景区安全生产宣传资料</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新增景区安全生产标示标牌不少于10处</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安全生产宣传单10000份</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购买安全生产光碟等11盒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nil"/>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安全生产隐患排查、应急演练</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隐患排查不少于12次、应急演练不少于3次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nil"/>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应急费经费</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2021年应急经费31万元，用于因景区责任导致游客受伤、死亡，不在保险公司理赔范围、金额内的事项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nil"/>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公众责任险</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2021年景区公众责任险26万元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nil"/>
              <w:right w:val="nil"/>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“七五”普法</w:t>
            </w:r>
          </w:p>
        </w:tc>
        <w:tc>
          <w:tcPr>
            <w:tcW w:w="4869" w:type="dxa"/>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“七五”普法宣传资料1万份共计：4万元，标示标语21处，共计2万元，覆盖全景区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nil"/>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培训人数</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完成上级部门下达的培训目标人数任务,预计801人次，确保人人都能得到提升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改建栈道</w:t>
            </w:r>
          </w:p>
        </w:tc>
        <w:tc>
          <w:tcPr>
            <w:tcW w:w="4869" w:type="dxa"/>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改造圣水门至冲古寺栈道，共计5000米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改建马道</w:t>
            </w:r>
          </w:p>
        </w:tc>
        <w:tc>
          <w:tcPr>
            <w:tcW w:w="48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改造现有马道，共计1500米，宽2-3米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设置观景台</w:t>
            </w:r>
          </w:p>
        </w:tc>
        <w:tc>
          <w:tcPr>
            <w:tcW w:w="48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在栈道沿途设置10处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建立装配式救援服务站</w:t>
            </w:r>
          </w:p>
        </w:tc>
        <w:tc>
          <w:tcPr>
            <w:tcW w:w="48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修建5个，包含基础急救医疗设施、高原供氧气装置和饮用水供应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栈道改造</w:t>
            </w:r>
          </w:p>
        </w:tc>
        <w:tc>
          <w:tcPr>
            <w:tcW w:w="48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冲古寺至圣水门木栈道改造2500米，冲古寺至卓玛拉措木栈道改造1500米，扎灌崩至冲古寺钢栈道改造500米，共计4500米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观景台扩展</w:t>
            </w:r>
          </w:p>
        </w:tc>
        <w:tc>
          <w:tcPr>
            <w:tcW w:w="48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栈道沿途2处观景台进行100平方米扩展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auto" w:sz="4" w:space="0"/>
              <w:left w:val="nil"/>
              <w:bottom w:val="nil"/>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建设救援中心及配套设施服务站</w:t>
            </w:r>
          </w:p>
        </w:tc>
        <w:tc>
          <w:tcPr>
            <w:tcW w:w="4869" w:type="dxa"/>
            <w:tcBorders>
              <w:top w:val="single" w:color="auto" w:sz="4" w:space="0"/>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建设康古、卡斯、叶儿红救援中心，配套建设服务站10座，总建筑面积3600平方米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质量指标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完成扑火服、管护服、扑火机具性能指数</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按正规扑火服、扑火器具采购，安全性能提高90%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邀请森林武警驻防性能指数</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防火期火情率降低至0.1%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叶儿红村、亚丁村病虫害治理性能指数</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成虫、虫卵杀死率达到80%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培训方案制作</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按照上级部门下达的培训任务，明确培训科目，邀请专业培训学校结合亚丁景区实际科学制定培训方案，确保保质完成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培训档案制作</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完成景区职工培训档案，预计219份，确保培训档案健全完整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时效指标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项目完成时限</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群众利益补偿及征地补偿</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2021年底12月完成支付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成本指标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项目前期费用</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5044.83万元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工程款</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8211.63万元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效益指标</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经济效益</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仁亚路、游客中心种花，俄出山养护</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通过小工方式聘周边村民，能解决300个用工，提升村民就业率3%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nil"/>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亚丁村、叶儿红村土地流转资金</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为亚丁村村民增收：29.386万元，叶儿红村村民增收：21.9563万元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社会效益</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指标</w:t>
            </w:r>
          </w:p>
        </w:tc>
        <w:tc>
          <w:tcPr>
            <w:tcW w:w="1677" w:type="dxa"/>
            <w:tcBorders>
              <w:top w:val="single" w:color="000000" w:sz="4" w:space="0"/>
              <w:left w:val="single" w:color="000000" w:sz="4" w:space="0"/>
              <w:bottom w:val="single" w:color="000000" w:sz="4" w:space="0"/>
              <w:right w:val="nil"/>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亚丁村、叶儿红村村容村貌改造</w:t>
            </w:r>
          </w:p>
        </w:tc>
        <w:tc>
          <w:tcPr>
            <w:tcW w:w="4869" w:type="dxa"/>
            <w:tcBorders>
              <w:top w:val="single" w:color="000000" w:sz="4" w:space="0"/>
              <w:left w:val="single" w:color="000000" w:sz="4" w:space="0"/>
              <w:bottom w:val="single" w:color="000000" w:sz="4" w:space="0"/>
              <w:right w:val="nil"/>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2021年村容村貌投入5万元，改善村容村貌。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生态效益</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邀请森林武警驻防</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邀请森林武警驻防，与亚丁扑火队共同完成今冬明春亚丁1457.5平方公里的巡护、防火工作，预计将保护区内森林火灾控制在零起，火情控制在1%以下。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仁亚路、游客中心种花，俄初山植被养护</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增加植被覆盖率70%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叶儿红村、亚丁村病虫害治理</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2021年叶儿红村、亚丁村病虫害区域治愈率达到80%以上，病虫扩散率控制在20%以下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可持续影响</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促进全州旅游产业发展</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促进经济社会协调发展</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满意度</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指标</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满意度指标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村民满意度</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游客满意度</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培训</w:t>
            </w:r>
          </w:p>
        </w:tc>
        <w:tc>
          <w:tcPr>
            <w:tcW w:w="48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保障亚丁景区职工服务质量得到提升，争取培训满意度都能达到90%</w:t>
            </w:r>
          </w:p>
        </w:tc>
      </w:tr>
    </w:tbl>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（2）目标完成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在州委州政府的关怀指导下，我单位根据年初预算情况和各类项目安排情况，逐项落实到各职能科室，强调时间节点，确保任务落到实处。同时建立项目台账，强化项目管理，对项目推进情况进行监督。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（3）预算编制准确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在预算编制时严格按照州财政局要求及相关预算编制政策文件进行科学编制本年度预算；2021年我单位年初预算数17481万元。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2.预算执行管理情况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（1）支出控制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在预算资金支出控制上，坚持节约为本、专款专用的原则，结合单位实际，制定了预算管理制度，财务支出管理制度，一切支出均按照国家财政法规和财务管理制度办理。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（2）预算动态调整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以设定的绩效目标为核心，认真收集数据、分析数据，针对数据信息对绩效运行进行全面监控，截止2021年12月底我单位绩效监控调整取消额、结余注销额均为零。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（3）执行进度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根据年初预算情况和各类项目安排情况，逐项落实到各职能科室，强调时间节点，确保任务落到实处。同时建立项目台账，强化项目管理，对项目推进情况进行监督，确保按进度完成。我单位2021年总体预算执行率为84%，其中：基本支出预算执行率97.78%；项目支出执行率83.17%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3.综合管理情况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按照州级部门预算编制通知和有关要求，按时完成基础工作，按时提交部门预算草案；在财政部门批复日内向社会公开本部门的“三公”经费、机关运行经费的安排、使用情况；本部门的预算执行基本达到了执行进度；本单位的财务制度健全，制度执行严格，会计核算符合财政局的相关规定，资金达到了专款专用，开支标准合理、合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（三）结果运用情况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评价结果进一步完善管理制度，改进管理措施。将绩效评价结果向社会公开，把绩效评价结果作为以后年度预算安排的重要参考，逐步推行绩效评价结果运用，强化绩效评价结果的约束力，提高财政资金使用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1.预算绩效管理虽然取得了一定的成绩，但还存在一定的问题。主要系我单位地处高原地区及受疫情影响，基建项目有效施工期段短施工进度缓慢致使财政资金使用绩效不佳。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2.预算编制工作还有待细化，实际支出与预算编制仍存在细微差异。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1.加强预算编制管理，科学规划预算编制工作，加强资金使用管理，严格按照预算规定的费用项目和用途进行资金使用。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2.加强项目支出的调度，加强对项目开展的跟踪和支出进度的控制。建立科学的财政资金效益考评制度体系，不断提高资金使用管理的水平和效率。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甘孜藏族自治州稻城亚丁景区管理局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2022年1月25日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B1937"/>
    <w:rsid w:val="0B221472"/>
    <w:rsid w:val="0D027D46"/>
    <w:rsid w:val="4CCB6AD6"/>
    <w:rsid w:val="5E182BBB"/>
    <w:rsid w:val="65D92BC7"/>
    <w:rsid w:val="672E2564"/>
    <w:rsid w:val="7A532BE7"/>
    <w:rsid w:val="7DCF1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3963</Words>
  <Characters>4360</Characters>
  <Lines>0</Lines>
  <Paragraphs>0</Paragraphs>
  <TotalTime>265</TotalTime>
  <ScaleCrop>false</ScaleCrop>
  <LinksUpToDate>false</LinksUpToDate>
  <CharactersWithSpaces>4377</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℡蓝胖子没有小指头。</cp:lastModifiedBy>
  <dcterms:modified xsi:type="dcterms:W3CDTF">2022-09-28T09:18:29Z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09FC73E4AB4840FCADF16BF7ADF04F05</vt:lpwstr>
  </property>
</Properties>
</file>