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甘孜藏族自治州稻城亚丁景区管理局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整体支出</w:t>
      </w:r>
      <w:r>
        <w:rPr>
          <w:rFonts w:hint="eastAsia" w:ascii="方正小标宋简体" w:hAnsi="方正小标宋简体" w:eastAsia="方正小标宋简体" w:cs="方正小标宋简体"/>
          <w:sz w:val="44"/>
          <w:szCs w:val="44"/>
        </w:rPr>
        <w:t>绩效</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评报告</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州</w:t>
      </w:r>
      <w:r>
        <w:rPr>
          <w:rFonts w:hint="eastAsia" w:ascii="仿宋_GB2312" w:hAnsi="仿宋_GB2312" w:eastAsia="仿宋_GB2312" w:cs="仿宋_GB2312"/>
          <w:sz w:val="32"/>
          <w:szCs w:val="32"/>
        </w:rPr>
        <w:t>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我单位在州委州政府的领导和州财政局的指导下，积极推进预算绩效管理工作，以绩效目标实现为导向，以财政支出绩效评价为手段，以评价结果应用为保障，提高财政资金使用效益，扎实有效推进了我单位预算绩效管理工作，预算绩效管理工作取得了一定的成效。根</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中共甘孜州委办公室、甘孜州人民政府办公室《关于印发甘孜州全面实施预算绩效管理工作实施方案的通知》（甘财绩〔2021〕18号）《2021年预算绩效管理考核实施办法》</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我单位结合实际，对2021年预算支出绩效管理情况作了自评，绩效考核结果自评分为74.42分，现将具体情况报告如下：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一、单位概况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（一）机构组成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甘孜藏族自治州稻城亚丁景区管理局属独立核算的事业单位，执行事业单位会计制度，预算级次为一级预算单位。单位内设 9个职能科（室），分别为：办公室、规划建设科、人事科、财务科、票务科、旅游营销科、环境保护科、法规科、信息科。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（二）机构职能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稻城县境内景区和国家级自然保护区规划和基础设施建设工作，负责生态环境和自然资源保护管理工作。2.负责稻城县境内景区和国家级自然保护区环境监测、环境质量现状定期报告等自然资源调查和建档工作。负责自然保护区界标的设置和管理工作。3.负责稻城县境内景区旅游资源开发和市场营销、旅游线路推荐、特色旅游商品开发、旅游从业人员管理与培训工作。4.负责稻城县境内景区游人安全、环境卫生、治安、商贸等旅游管理服务工作。5.稻城县境内景区内原行政区划的行政管辖权不变，仍由稻城县人民政府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（三）人员概况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正科级领导职数调整为9名，副科级领导职数调整为15名。截止2021年11月30日，管理局实有人数268人，其中：公务员编制1人，事业编制41人、合同制员工133人、临聘人员76人。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二、部门整体支出基本情况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（一）部门财政资金收入情况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2021年部门预算收入总数</w:t>
      </w:r>
      <w:r>
        <w:rPr>
          <w:rFonts w:hint="eastAsia" w:ascii="仿宋_GB2312" w:hAnsi="仿宋_GB2312" w:eastAsia="仿宋_GB2312" w:cs="仿宋_GB2312"/>
          <w:sz w:val="32"/>
          <w:szCs w:val="32"/>
          <w:lang w:val="en-US" w:eastAsia="zh-CN"/>
        </w:rPr>
        <w:t>17481</w:t>
      </w:r>
      <w:r>
        <w:rPr>
          <w:rFonts w:hint="eastAsia" w:ascii="仿宋_GB2312" w:hAnsi="仿宋_GB2312" w:eastAsia="仿宋_GB2312" w:cs="仿宋_GB2312"/>
          <w:sz w:val="32"/>
          <w:szCs w:val="32"/>
        </w:rPr>
        <w:t xml:space="preserve">万元，其中：上年结转    </w:t>
      </w:r>
      <w:r>
        <w:rPr>
          <w:rFonts w:hint="eastAsia" w:ascii="仿宋_GB2312" w:hAnsi="仿宋_GB2312" w:eastAsia="仿宋_GB2312" w:cs="仿宋_GB2312"/>
          <w:sz w:val="32"/>
          <w:szCs w:val="32"/>
          <w:lang w:val="en-US" w:eastAsia="zh-CN"/>
        </w:rPr>
        <w:t>8810.55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50.4</w:t>
      </w:r>
      <w:r>
        <w:rPr>
          <w:rFonts w:hint="eastAsia" w:ascii="仿宋_GB2312" w:hAnsi="仿宋_GB2312" w:eastAsia="仿宋_GB2312" w:cs="仿宋_GB2312"/>
          <w:sz w:val="32"/>
          <w:szCs w:val="32"/>
        </w:rPr>
        <w:t>%，一般公共预算拨款收入</w:t>
      </w:r>
      <w:r>
        <w:rPr>
          <w:rFonts w:hint="eastAsia" w:ascii="仿宋_GB2312" w:hAnsi="仿宋_GB2312" w:eastAsia="仿宋_GB2312" w:cs="仿宋_GB2312"/>
          <w:sz w:val="32"/>
          <w:szCs w:val="32"/>
          <w:lang w:val="en-US" w:eastAsia="zh-CN"/>
        </w:rPr>
        <w:t>8670.45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49.6</w:t>
      </w:r>
      <w:r>
        <w:rPr>
          <w:rFonts w:hint="eastAsia" w:ascii="仿宋_GB2312" w:hAnsi="仿宋_GB2312" w:eastAsia="仿宋_GB2312" w:cs="仿宋_GB2312"/>
          <w:sz w:val="32"/>
          <w:szCs w:val="32"/>
        </w:rPr>
        <w:t>%，政府性基金预算拨款收入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%，国有资本经营预算拨款收入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资金明细如下：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基本支出710.46万元，其中：人员经费583.86万元，对个人和家庭的补助4.99万元，日常公用经费121.61万元；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项目支出16770.52万元，其中：亚丁景区日常经营费用6009.46万元，景区门票成本916.49万元，征地补偿及其群众利益补偿1034.02万元。项目财政应返还额度8810.55万元。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（二）部门财政资金支出情况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1年1月至12月支出</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lang w:val="en-US" w:eastAsia="zh-CN"/>
        </w:rPr>
        <w:t>数15635.31万元，明细如下：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基本支出836.764895万元，其中：人员经费647.64万元，对个人和家庭的补助76.65万元，日常公用经费111.57万元；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项目经费支出数14798.54万元，其中：亚丁景区日常经营费用7959.98万元，景区门票成本916.49143万元，征地补偿及其群众利益补偿1034.0249万元，2021年国家级自然保护区补助资金44.9748万元，19个基建项目6793.589186万元。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三、部门整体支出评价工作开展情况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（1）召开包括全部部门负责人参加的预算绩效管理工作会议，明确目标，强调预算绩效管理工作重要性并安排相关工作。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（2）为确保预算绩效管理工作顺利实施，成立预算绩效管理工作小组，绩效管理小组组长由局长李灿担任，财务科科长担任办公室主任，负责预算管理工作的实施及监督。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（3）建立预算绩效管理制度。预算绩效管理工作由财务科牵头，其他科室各自负责与本科室相关的预算绩效管理工作，并与其他部门协调一致。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（4）为确保预算绩效管理工作顺利实施，我部门于2021年3月9日组织召开了本门预算专题培训会，认真学习。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四、评价结论及绩效分析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预算编制严格按照上级相关文件需求进行科学化编制，2021年本部门的绩效目标制定、目标完成、预决算编制等均按照县财政局下达的相关文件指标进行了编制，均按相关要求严格执行预算范围内开支，及时进行了预算动态调整，无违规记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（二）绩效分析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1.预算编制情况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（1）目标制定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通过组织2021年度预算工作会议的方式，对我单位2021年预算指标总金额17481万元（基本支出710.46万元，专项预算支出7959.98万元，上年结转安排8810.55万元），以“确保景区日常运行维护，保证门票成本、周边群众及其群众利益补偿，基础设施建设进度加快，完善基础设施，加快门禁系统建设”为总体目标，按照州财政要求，根据预算项目的性质、预算项目需要达到的目标分解落实到相应的职能科室，设定以下具体绩效目标：</w:t>
      </w:r>
      <w:r>
        <w:rPr>
          <w:rFonts w:hint="eastAsia" w:ascii="仿宋_GB2312" w:hAnsi="仿宋_GB2312" w:eastAsia="仿宋_GB2312" w:cs="仿宋_GB2312"/>
          <w:sz w:val="32"/>
          <w:szCs w:val="32"/>
          <w:lang w:val="en-US" w:eastAsia="zh-CN"/>
        </w:rPr>
        <w:br w:type="textWrapping"/>
      </w:r>
    </w:p>
    <w:tbl>
      <w:tblPr>
        <w:tblStyle w:val="4"/>
        <w:tblW w:w="9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496"/>
        <w:gridCol w:w="1394"/>
        <w:gridCol w:w="1671"/>
        <w:gridCol w:w="4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度</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绩</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效</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指</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标</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一级指标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二级指标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三级指标</w:t>
            </w:r>
          </w:p>
        </w:tc>
        <w:tc>
          <w:tcPr>
            <w:tcW w:w="4869"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完成指标</w:t>
            </w:r>
          </w:p>
        </w:tc>
        <w:tc>
          <w:tcPr>
            <w:tcW w:w="1400" w:type="dxa"/>
            <w:vMerge w:val="restart"/>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数量指标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制作标本</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制作动物标本3个；植物标本20个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环卫物资采购</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大垃圾袋300捆、塑料大垃圾袋200捆，垃圾夹260把、扫把70把、垃圾钏10个、线手套50包、垃圾绳2000米一次性采购全年环卫物资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完成扑火服、管护服、扑火机具采购</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扑火服30套，管护服30套，扑火机具若干一整套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邀请森林武警驻防</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邀请森林武警驻防，与亚丁扑火队共同完成今冬明春亚丁1457.5平方公里的巡护、防火工作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叶儿红村、亚丁村病虫害治理</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治理叶儿红村、亚丁村病虫害区域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nil"/>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景区安全生产宣传资料</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新增景区安全生产标示标牌不少于10处</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安全生产宣传单10000份</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购买安全生产光碟等11盒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nil"/>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安全生产隐患排查、应急演练</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隐患排查不少于12次、应急演练不少于3次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nil"/>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应急费经费</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2021年应急经费31万元，用于因景区责任导致游客受伤、死亡，不在保险公司理赔范围、金额内的事项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nil"/>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公众责任险</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2021年景区公众责任险26万元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nil"/>
              <w:right w:val="nil"/>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“七五”普法</w:t>
            </w:r>
          </w:p>
        </w:tc>
        <w:tc>
          <w:tcPr>
            <w:tcW w:w="4869" w:type="dxa"/>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“七五”普法宣传资料1万份共计：4万元，标示标语21处，共计2万元，覆盖全景区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nil"/>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培训人数</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完成上级部门下达的培训目标人数任务,预计801人次，确保人人都能得到提升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改建栈道</w:t>
            </w:r>
          </w:p>
        </w:tc>
        <w:tc>
          <w:tcPr>
            <w:tcW w:w="486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改造圣水门至冲古寺栈道，共计5000米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改建马道</w:t>
            </w:r>
          </w:p>
        </w:tc>
        <w:tc>
          <w:tcPr>
            <w:tcW w:w="48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改造现有马道，共计1500米，宽2-3米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设置观景台</w:t>
            </w:r>
          </w:p>
        </w:tc>
        <w:tc>
          <w:tcPr>
            <w:tcW w:w="48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在栈道沿途设置10处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建立装配式救援服务站</w:t>
            </w:r>
          </w:p>
        </w:tc>
        <w:tc>
          <w:tcPr>
            <w:tcW w:w="48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修建5个，包含基础急救医疗设施、高原供氧气装置和饮用水供应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栈道改造</w:t>
            </w:r>
          </w:p>
        </w:tc>
        <w:tc>
          <w:tcPr>
            <w:tcW w:w="48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冲古寺至圣水门木栈道改造2500米，冲古寺至卓玛拉措木栈道改造1500米，扎灌崩至冲古寺钢栈道改造500米，共计4500米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观景台扩展</w:t>
            </w:r>
          </w:p>
        </w:tc>
        <w:tc>
          <w:tcPr>
            <w:tcW w:w="48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栈道沿途2处观景台进行100平方米扩展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auto" w:sz="4" w:space="0"/>
              <w:left w:val="nil"/>
              <w:bottom w:val="nil"/>
              <w:right w:val="single" w:color="auto"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建设救援中心及配套设施服务站</w:t>
            </w:r>
          </w:p>
        </w:tc>
        <w:tc>
          <w:tcPr>
            <w:tcW w:w="4869"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建设康古、卡斯、叶儿红救援中心，配套建设服务站10座，总建筑面积3600平方米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质量指标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完成扑火服、管护服、扑火机具性能指数</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按正规扑火服、扑火器具采购，安全性能提高90%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邀请森林武警驻防性能指数</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防火期火情率降低至0.1%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叶儿红村、亚丁村病虫害治理性能指数</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成虫、虫卵杀死率达到80%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培训方案制作</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按照上级部门下达的培训任务，明确培训科目，邀请专业培训学校结合亚丁景区实际科学制定培训方案，确保保质完成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培训档案制作</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完成景区职工培训档案，预计219份，确保培训档案健全完整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时效指标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项目完成时限</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群众利益补偿及征地补偿</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2021年底12月完成支付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成本指标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项目前期费用</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5044.83万元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工程款</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8211.63万元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效益指标</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经济效益</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指标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仁亚路、游客中心种花，俄出山养护</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通过小工方式聘周边村民，能解决300个用工，提升村民就业率3%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nil"/>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亚丁村、叶儿红村土地流转资金</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为亚丁村村民增收：29.386万元，叶儿红村村民增收：21.9563万元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社会效益</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指标</w:t>
            </w:r>
          </w:p>
        </w:tc>
        <w:tc>
          <w:tcPr>
            <w:tcW w:w="1677" w:type="dxa"/>
            <w:tcBorders>
              <w:top w:val="single" w:color="000000" w:sz="4" w:space="0"/>
              <w:left w:val="single" w:color="000000" w:sz="4" w:space="0"/>
              <w:bottom w:val="single" w:color="000000" w:sz="4" w:space="0"/>
              <w:right w:val="nil"/>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亚丁村、叶儿红村村容村貌改造</w:t>
            </w:r>
          </w:p>
        </w:tc>
        <w:tc>
          <w:tcPr>
            <w:tcW w:w="4869" w:type="dxa"/>
            <w:tcBorders>
              <w:top w:val="single" w:color="000000" w:sz="4" w:space="0"/>
              <w:left w:val="single" w:color="000000" w:sz="4" w:space="0"/>
              <w:bottom w:val="single" w:color="000000" w:sz="4" w:space="0"/>
              <w:right w:val="nil"/>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2021年村容村貌投入5万元，改善村容村貌。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生态效益</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指标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邀请森林武警驻防</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邀请森林武警驻防，与亚丁扑火队共同完成今冬明春亚丁1457.5平方公里的巡护、防火工作，预计将保护区内森林火灾控制在零起，火情控制在1%以下。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仁亚路、游客中心种花，俄初山植被养护</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增加植被覆盖率70%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叶儿红村、亚丁村病虫害治理</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2021年叶儿红村、亚丁村病虫害区域治愈率达到80%以上，病虫扩散率控制在20%以下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可持续影响</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指标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促进全州旅游产业发展</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促进经济社会协调发展</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满意度</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指标</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满意度指标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村民满意度</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游客满意度</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培训</w:t>
            </w:r>
          </w:p>
        </w:tc>
        <w:tc>
          <w:tcPr>
            <w:tcW w:w="4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保障亚丁景区职工服务质量得到提升，争取培训满意度都能达到90%</w:t>
            </w:r>
          </w:p>
        </w:tc>
      </w:tr>
    </w:tbl>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（2）目标完成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在州委州政府的关怀指导下，我单位根据年初预算情况和各类项目安排情况，逐项落实到各职能科室，强调时间节点，确保任务落到实处。同时建立项目台账，强化项目管理，对项目推进情况进行监督。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（3）预算编制准确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在预算编制时严格按照州财政局要求及相关预算编制政策文件进行科学编制本年度预算；2021年我单位年初预算数17481万元。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2.预算执行管理情况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（1）支出控制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在预算资金支出控制上，坚持节约为本、专款专用的原则，结合单位实际，制定了预算管理制度，财务支出管理制度，一切支出均按照国家财政法规和财务管理制度办理。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（2）预算动态调整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以设定的绩效目标为核心，认真收集数据、分析数据，针对数据信息对绩效运行进行全面监控，截止2021年12月底我单位绩效监控调整取消额、结余注销额均为零。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（3）执行进度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根据年初预算情况和各类项目安排情况，逐项落实到各职能科室，强调时间节点，确保任务落到实处。同时建立项目台账，强化项目管理，对项目推进情况进行监督，确保按进度完成。我单位2021年总体预算执行率为84%，其中：基本支出预算执行率97.78%；项目支出执行率83.17%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3.综合管理情况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按照州级部门预算编制通知和有关要求，按时完成基础工作，按时提交部门预算草案；在财政部门批复日内向社会公开本部门的“三公”经费、机关运行经费的安排、使用情况；本部门的预算执行基本达到了执行进度；本单位的财务制度健全，制度执行严格，会计核算符合财政局的相关规定，资金达到了专款专用，开支标准合理、合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（三）结果运用情况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评价结果进一步完善管理制度，改进管理措施。将绩效评价结果向社会公开，把绩效评价结果作为以后年度预算安排的重要参考，逐步推行绩效评价结果运用，强化绩效评价结果的约束力，提高财政资金使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1.预算绩效管理虽然取得了一定的成绩，但还存在一定的问题。主要系我单位地处高原地区及受疫情影响，基建项目有效施工期段短施工进度缓慢致使财政资金使用绩效不佳。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2.预算编制工作还有待细化，实际支出与预算编制仍存在细微差异。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五、改进意见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1.加强预算编制管理，科学规划预算编制工作，加强资金使用管理，严格按照预算规定的费用项目和用途进行资金使用。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2.加强项目支出的调度，加强对项目开展的跟踪和支出进度的控制。建立科学的财政资金效益考评制度体系，不断提高资金使用管理的水平和效率。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甘孜藏族自治州稻城亚丁景区管理局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2022年1月25日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footerReference r:id="rId3" w:type="default"/>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B1937"/>
    <w:rsid w:val="0B221472"/>
    <w:rsid w:val="0D027D46"/>
    <w:rsid w:val="4CCB6AD6"/>
    <w:rsid w:val="5E182BBB"/>
    <w:rsid w:val="65D92BC7"/>
    <w:rsid w:val="672E2564"/>
    <w:rsid w:val="7A532BE7"/>
    <w:rsid w:val="7DCF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3963</Words>
  <Characters>4360</Characters>
  <Lines>0</Lines>
  <Paragraphs>0</Paragraphs>
  <TotalTime>265</TotalTime>
  <ScaleCrop>false</ScaleCrop>
  <LinksUpToDate>false</LinksUpToDate>
  <CharactersWithSpaces>4377</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℡蓝胖子没有小指头。</cp:lastModifiedBy>
  <dcterms:modified xsi:type="dcterms:W3CDTF">2022-09-28T09:18:29Z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09FC73E4AB4840FCADF16BF7ADF04F05</vt:lpwstr>
  </property>
</Properties>
</file>